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line="240" w:lineRule="auto"/>
        <w:rPr/>
      </w:pPr>
      <w:bookmarkStart w:colFirst="0" w:colLast="0" w:name="_heading=h.lrpinfnwf83s" w:id="0"/>
      <w:bookmarkEnd w:id="0"/>
      <w:r w:rsidDel="00000000" w:rsidR="00000000" w:rsidRPr="00000000">
        <w:rPr>
          <w:rtl w:val="0"/>
        </w:rPr>
        <w:t xml:space="preserve">Actividad eXeLearning: laboratorio de sinónimos</w:t>
      </w:r>
    </w:p>
    <w:p w:rsidR="00000000" w:rsidDel="00000000" w:rsidP="00000000" w:rsidRDefault="00000000" w:rsidRPr="00000000" w14:paraId="00000002">
      <w:pPr>
        <w:spacing w:after="240" w:before="240" w:line="240" w:lineRule="auto"/>
        <w:rPr>
          <w:b w:val="1"/>
          <w:bCs w:val="1"/>
        </w:rPr>
      </w:pPr>
      <w:r w:rsidDel="00000000" w:rsidR="00000000" w:rsidRPr="00000000">
        <w:rPr>
          <w:b w:val="1"/>
          <w:bCs w:val="1"/>
          <w:rtl w:val="0"/>
        </w:rPr>
        <w:t xml:space="preserve">Instrucciones para el alumno:</w:t>
      </w:r>
    </w:p>
    <w:p w:rsidR="00000000" w:rsidDel="00000000" w:rsidP="00000000" w:rsidRDefault="00000000" w:rsidRPr="00000000" w14:paraId="00000003">
      <w:pPr>
        <w:spacing w:after="240" w:before="240" w:line="240" w:lineRule="auto"/>
        <w:ind w:left="0" w:right="-7.795275590551114" w:firstLine="0"/>
        <w:rPr/>
      </w:pPr>
      <w:r w:rsidDel="00000000" w:rsidR="00000000" w:rsidRPr="00000000">
        <w:rPr>
          <w:rtl w:val="0"/>
        </w:rPr>
        <w:t xml:space="preserve">Lee atentamente el siguiente texto. Deberás completar los espacios en blanco utilizando los términos teóricos aprendidos.</w:t>
      </w:r>
    </w:p>
    <w:p w:rsidR="00000000" w:rsidDel="00000000" w:rsidP="00000000" w:rsidRDefault="00000000" w:rsidRPr="00000000" w14:paraId="00000004">
      <w:pPr>
        <w:pStyle w:val="Heading3"/>
        <w:keepNext w:val="0"/>
        <w:keepLines w:val="0"/>
        <w:spacing w:line="240" w:lineRule="auto"/>
        <w:rPr>
          <w:sz w:val="22"/>
          <w:szCs w:val="22"/>
        </w:rPr>
      </w:pPr>
      <w:bookmarkStart w:colFirst="0" w:colLast="0" w:name="_heading=h.cq4miaoe1wx1" w:id="1"/>
      <w:bookmarkEnd w:id="1"/>
      <w:r w:rsidDel="00000000" w:rsidR="00000000" w:rsidRPr="00000000">
        <w:rPr>
          <w:sz w:val="22"/>
          <w:szCs w:val="22"/>
          <w:rtl w:val="0"/>
        </w:rPr>
        <w:t xml:space="preserve">Texto para rellenar huecos</w:t>
      </w:r>
    </w:p>
    <w:p w:rsidR="00000000" w:rsidDel="00000000" w:rsidP="00000000" w:rsidRDefault="00000000" w:rsidRPr="00000000" w14:paraId="00000005">
      <w:pPr>
        <w:spacing w:after="240" w:before="240" w:line="240" w:lineRule="auto"/>
        <w:rPr/>
      </w:pPr>
      <w:r w:rsidDel="00000000" w:rsidR="00000000" w:rsidRPr="00000000">
        <w:rPr>
          <w:rtl w:val="0"/>
        </w:rPr>
        <w:t xml:space="preserve">Para redactar, debemos dominar los tipos de sinonimia. Cuando dos palabras remiten exactamente al mismo concepto, como "casa" y "vivienda", hablamos de sinonimia </w:t>
      </w:r>
      <w:r w:rsidDel="00000000" w:rsidR="00000000" w:rsidRPr="00000000">
        <w:rPr>
          <w:b w:val="1"/>
          <w:bCs w:val="1"/>
          <w:rtl w:val="0"/>
        </w:rPr>
        <w:t xml:space="preserve">conceptual</w:t>
      </w:r>
      <w:r w:rsidDel="00000000" w:rsidR="00000000" w:rsidRPr="00000000">
        <w:rPr>
          <w:rtl w:val="0"/>
        </w:rPr>
        <w:t xml:space="preserve">. Sin embargo, si llamamos al médico "el trabajador" en nuestro informe, estamos ante una sinonimia </w:t>
      </w:r>
      <w:r w:rsidDel="00000000" w:rsidR="00000000" w:rsidRPr="00000000">
        <w:rPr>
          <w:b w:val="1"/>
          <w:bCs w:val="1"/>
          <w:rtl w:val="0"/>
        </w:rPr>
        <w:t xml:space="preserve">referencial</w:t>
      </w:r>
      <w:r w:rsidDel="00000000" w:rsidR="00000000" w:rsidRPr="00000000">
        <w:rPr>
          <w:rtl w:val="0"/>
        </w:rPr>
        <w:t xml:space="preserve">, ya que ambos términos remiten al mismo referente pero tienen significados distintos.</w:t>
      </w:r>
    </w:p>
    <w:p w:rsidR="00000000" w:rsidDel="00000000" w:rsidP="00000000" w:rsidRDefault="00000000" w:rsidRPr="00000000" w14:paraId="00000006">
      <w:pPr>
        <w:spacing w:after="240" w:before="240" w:line="240" w:lineRule="auto"/>
        <w:rPr/>
      </w:pPr>
      <w:r w:rsidDel="00000000" w:rsidR="00000000" w:rsidRPr="00000000">
        <w:rPr>
          <w:rtl w:val="0"/>
        </w:rPr>
        <w:t xml:space="preserve">A continuación, pongamos en práctica estos conceptos:</w:t>
      </w:r>
    </w:p>
    <w:p w:rsidR="00000000" w:rsidDel="00000000" w:rsidP="00000000" w:rsidRDefault="00000000" w:rsidRPr="00000000" w14:paraId="00000007">
      <w:pPr>
        <w:numPr>
          <w:ilvl w:val="0"/>
          <w:numId w:val="3"/>
        </w:numPr>
        <w:spacing w:after="0" w:afterAutospacing="0" w:before="240" w:line="240" w:lineRule="auto"/>
        <w:ind w:left="720" w:hanging="360"/>
      </w:pPr>
      <w:r w:rsidDel="00000000" w:rsidR="00000000" w:rsidRPr="00000000">
        <w:rPr>
          <w:b w:val="1"/>
          <w:bCs w:val="1"/>
          <w:rtl w:val="0"/>
        </w:rPr>
        <w:t xml:space="preserve">Teoría:</w:t>
      </w:r>
      <w:r w:rsidDel="00000000" w:rsidR="00000000" w:rsidRPr="00000000">
        <w:rPr>
          <w:rtl w:val="0"/>
        </w:rPr>
        <w:t xml:space="preserve"> la sinonimia </w:t>
      </w:r>
      <w:r w:rsidDel="00000000" w:rsidR="00000000" w:rsidRPr="00000000">
        <w:rPr>
          <w:b w:val="1"/>
          <w:bCs w:val="1"/>
          <w:rtl w:val="0"/>
        </w:rPr>
        <w:t xml:space="preserve">contextual</w:t>
      </w:r>
      <w:r w:rsidDel="00000000" w:rsidR="00000000" w:rsidRPr="00000000">
        <w:rPr>
          <w:rtl w:val="0"/>
        </w:rPr>
        <w:t xml:space="preserve"> ocurre cuando dos palabras solo pueden intercambiarse en situaciones específicas. Por ejemplo, en un informe sanitario, si decimos que "una comida es muy pesada", el sinónimo adecuado para mantener el rigor sería </w:t>
      </w:r>
      <w:r w:rsidDel="00000000" w:rsidR="00000000" w:rsidRPr="00000000">
        <w:rPr>
          <w:b w:val="1"/>
          <w:bCs w:val="1"/>
          <w:rtl w:val="0"/>
        </w:rPr>
        <w:t xml:space="preserve">indigesto</w:t>
      </w:r>
      <w:r w:rsidDel="00000000" w:rsidR="00000000" w:rsidRPr="00000000">
        <w:rPr>
          <w:rtl w:val="0"/>
        </w:rPr>
        <w:t xml:space="preserve"> (si hablamos de digestión) pero nunca usaríamos "cansino", que es un término coloquial.</w:t>
      </w:r>
    </w:p>
    <w:p w:rsidR="00000000" w:rsidDel="00000000" w:rsidP="00000000" w:rsidRDefault="00000000" w:rsidRPr="00000000" w14:paraId="00000008">
      <w:pPr>
        <w:numPr>
          <w:ilvl w:val="0"/>
          <w:numId w:val="3"/>
        </w:numPr>
        <w:spacing w:after="0" w:afterAutospacing="0" w:before="0" w:beforeAutospacing="0" w:line="240" w:lineRule="auto"/>
        <w:ind w:left="720" w:hanging="360"/>
      </w:pPr>
      <w:r w:rsidDel="00000000" w:rsidR="00000000" w:rsidRPr="00000000">
        <w:rPr>
          <w:b w:val="1"/>
          <w:bCs w:val="1"/>
          <w:rtl w:val="0"/>
        </w:rPr>
        <w:t xml:space="preserve">Práctica:</w:t>
      </w:r>
      <w:r w:rsidDel="00000000" w:rsidR="00000000" w:rsidRPr="00000000">
        <w:rPr>
          <w:rtl w:val="0"/>
        </w:rPr>
        <w:t xml:space="preserve"> en la frase "nuestro jefe de planta es u</w:t>
      </w:r>
      <w:r w:rsidDel="00000000" w:rsidR="00000000" w:rsidRPr="00000000">
        <w:rPr>
          <w:rtl w:val="0"/>
        </w:rPr>
        <w:t xml:space="preserve">n monstruo de la v</w:t>
      </w:r>
      <w:r w:rsidDel="00000000" w:rsidR="00000000" w:rsidRPr="00000000">
        <w:rPr>
          <w:rtl w:val="0"/>
        </w:rPr>
        <w:t xml:space="preserve">irología", estamos utilizando una sinonimia de </w:t>
      </w:r>
      <w:r w:rsidDel="00000000" w:rsidR="00000000" w:rsidRPr="00000000">
        <w:rPr>
          <w:b w:val="1"/>
          <w:bCs w:val="1"/>
          <w:rtl w:val="0"/>
        </w:rPr>
        <w:t xml:space="preserve">connotación</w:t>
      </w:r>
      <w:r w:rsidDel="00000000" w:rsidR="00000000" w:rsidRPr="00000000">
        <w:rPr>
          <w:rtl w:val="0"/>
        </w:rPr>
        <w:t xml:space="preserve">, ya que la palabra resaltada pierde su significado original de "criatura terrible" para signi</w:t>
      </w:r>
      <w:r w:rsidDel="00000000" w:rsidR="00000000" w:rsidRPr="00000000">
        <w:rPr>
          <w:rtl w:val="0"/>
        </w:rPr>
        <w:t xml:space="preserve">ficar genio o exp</w:t>
      </w:r>
      <w:r w:rsidDel="00000000" w:rsidR="00000000" w:rsidRPr="00000000">
        <w:rPr>
          <w:rtl w:val="0"/>
        </w:rPr>
        <w:t xml:space="preserve">erto, debido a la carga afectiva o valorativa.</w:t>
      </w:r>
    </w:p>
    <w:p w:rsidR="00000000" w:rsidDel="00000000" w:rsidP="00000000" w:rsidRDefault="00000000" w:rsidRPr="00000000" w14:paraId="00000009">
      <w:pPr>
        <w:numPr>
          <w:ilvl w:val="0"/>
          <w:numId w:val="3"/>
        </w:numPr>
        <w:spacing w:after="240" w:before="0" w:beforeAutospacing="0" w:line="240" w:lineRule="auto"/>
        <w:ind w:left="720" w:hanging="360"/>
      </w:pPr>
      <w:r w:rsidDel="00000000" w:rsidR="00000000" w:rsidRPr="00000000">
        <w:rPr>
          <w:b w:val="1"/>
          <w:bCs w:val="1"/>
          <w:rtl w:val="0"/>
        </w:rPr>
        <w:t xml:space="preserve">Rigor profesional:</w:t>
      </w:r>
      <w:r w:rsidDel="00000000" w:rsidR="00000000" w:rsidRPr="00000000">
        <w:rPr>
          <w:rtl w:val="0"/>
        </w:rPr>
        <w:t xml:space="preserve"> para que un comunicado sea serio, es preferible usar sinónimos de tipo </w:t>
      </w:r>
      <w:r w:rsidDel="00000000" w:rsidR="00000000" w:rsidRPr="00000000">
        <w:rPr>
          <w:b w:val="1"/>
          <w:bCs w:val="1"/>
          <w:rtl w:val="0"/>
        </w:rPr>
        <w:t xml:space="preserve">conceptual</w:t>
      </w:r>
      <w:r w:rsidDel="00000000" w:rsidR="00000000" w:rsidRPr="00000000">
        <w:rPr>
          <w:rtl w:val="0"/>
        </w:rPr>
        <w:t xml:space="preserve"> (como sustituir "empezar" </w:t>
      </w:r>
      <w:r w:rsidDel="00000000" w:rsidR="00000000" w:rsidRPr="00000000">
        <w:rPr>
          <w:rtl w:val="0"/>
        </w:rPr>
        <w:t xml:space="preserve">por iniciar) en lu</w:t>
      </w:r>
      <w:r w:rsidDel="00000000" w:rsidR="00000000" w:rsidRPr="00000000">
        <w:rPr>
          <w:rtl w:val="0"/>
        </w:rPr>
        <w:t xml:space="preserve">gar de términos cargados de subjetividad.</w:t>
      </w:r>
    </w:p>
    <w:p w:rsidR="00000000" w:rsidDel="00000000" w:rsidP="00000000" w:rsidRDefault="00000000" w:rsidRPr="00000000" w14:paraId="0000000A">
      <w:pPr>
        <w:pStyle w:val="Heading3"/>
        <w:keepNext w:val="0"/>
        <w:keepLines w:val="0"/>
        <w:spacing w:line="240" w:lineRule="auto"/>
        <w:rPr>
          <w:sz w:val="22"/>
          <w:szCs w:val="22"/>
        </w:rPr>
      </w:pPr>
      <w:bookmarkStart w:colFirst="0" w:colLast="0" w:name="_heading=h.oyyhblbtsr7f" w:id="2"/>
      <w:bookmarkEnd w:id="2"/>
      <w:r w:rsidDel="00000000" w:rsidR="00000000" w:rsidRPr="00000000">
        <w:rPr>
          <w:sz w:val="22"/>
          <w:szCs w:val="22"/>
          <w:rtl w:val="0"/>
        </w:rPr>
        <w:t xml:space="preserve">Retroalimentación (feedback)</w:t>
      </w:r>
    </w:p>
    <w:p w:rsidR="00000000" w:rsidDel="00000000" w:rsidP="00000000" w:rsidRDefault="00000000" w:rsidRPr="00000000" w14:paraId="0000000B">
      <w:pPr>
        <w:spacing w:after="240" w:before="240" w:line="240" w:lineRule="auto"/>
        <w:ind w:left="0" w:right="600" w:firstLine="0"/>
        <w:rPr>
          <w:b w:val="1"/>
          <w:bCs w:val="1"/>
          <w:i w:val="1"/>
          <w:iCs w:val="1"/>
        </w:rPr>
      </w:pPr>
      <w:r w:rsidDel="00000000" w:rsidR="00000000" w:rsidRPr="00000000">
        <w:rPr>
          <w:b w:val="1"/>
          <w:bCs w:val="1"/>
          <w:i w:val="1"/>
          <w:iCs w:val="1"/>
          <w:rtl w:val="0"/>
        </w:rPr>
        <w:t xml:space="preserve">¡Excelente trabajo de revisión!</w:t>
      </w:r>
    </w:p>
    <w:p w:rsidR="00000000" w:rsidDel="00000000" w:rsidP="00000000" w:rsidRDefault="00000000" w:rsidRPr="00000000" w14:paraId="0000000C">
      <w:pPr>
        <w:spacing w:after="240" w:before="240" w:line="240" w:lineRule="auto"/>
        <w:ind w:left="0" w:right="600" w:firstLine="0"/>
        <w:rPr>
          <w:i w:val="1"/>
          <w:iCs w:val="1"/>
        </w:rPr>
      </w:pPr>
      <w:r w:rsidDel="00000000" w:rsidR="00000000" w:rsidRPr="00000000">
        <w:rPr>
          <w:i w:val="1"/>
          <w:iCs w:val="1"/>
          <w:rtl w:val="0"/>
        </w:rPr>
        <w:t xml:space="preserve">Recuerda que:</w:t>
      </w:r>
    </w:p>
    <w:p w:rsidR="00000000" w:rsidDel="00000000" w:rsidP="00000000" w:rsidRDefault="00000000" w:rsidRPr="00000000" w14:paraId="0000000D">
      <w:pPr>
        <w:numPr>
          <w:ilvl w:val="0"/>
          <w:numId w:val="1"/>
        </w:numPr>
        <w:spacing w:after="0" w:afterAutospacing="0" w:before="240" w:line="240" w:lineRule="auto"/>
        <w:ind w:left="1320" w:right="600" w:hanging="360"/>
        <w:jc w:val="left"/>
        <w:rPr>
          <w:i w:val="1"/>
          <w:iCs w:val="1"/>
        </w:rPr>
      </w:pPr>
      <w:r w:rsidDel="00000000" w:rsidR="00000000" w:rsidRPr="00000000">
        <w:rPr>
          <w:i w:val="1"/>
          <w:iCs w:val="1"/>
          <w:rtl w:val="0"/>
        </w:rPr>
        <w:t xml:space="preserve">La sinonimia </w:t>
      </w:r>
      <w:r w:rsidDel="00000000" w:rsidR="00000000" w:rsidRPr="00000000">
        <w:rPr>
          <w:b w:val="1"/>
          <w:bCs w:val="1"/>
          <w:i w:val="1"/>
          <w:iCs w:val="1"/>
          <w:rtl w:val="0"/>
        </w:rPr>
        <w:t xml:space="preserve">conceptual</w:t>
      </w:r>
      <w:r w:rsidDel="00000000" w:rsidR="00000000" w:rsidRPr="00000000">
        <w:rPr>
          <w:i w:val="1"/>
          <w:iCs w:val="1"/>
          <w:rtl w:val="0"/>
        </w:rPr>
        <w:t xml:space="preserve"> es tu mejor aliada para la precisión técnica.</w:t>
      </w:r>
    </w:p>
    <w:p w:rsidR="00000000" w:rsidDel="00000000" w:rsidP="00000000" w:rsidRDefault="00000000" w:rsidRPr="00000000" w14:paraId="0000000E">
      <w:pPr>
        <w:numPr>
          <w:ilvl w:val="0"/>
          <w:numId w:val="1"/>
        </w:numPr>
        <w:spacing w:after="0" w:afterAutospacing="0" w:before="0" w:beforeAutospacing="0" w:line="240" w:lineRule="auto"/>
        <w:ind w:left="1320" w:right="600" w:hanging="360"/>
        <w:jc w:val="left"/>
        <w:rPr>
          <w:i w:val="1"/>
          <w:iCs w:val="1"/>
        </w:rPr>
      </w:pPr>
      <w:r w:rsidDel="00000000" w:rsidR="00000000" w:rsidRPr="00000000">
        <w:rPr>
          <w:i w:val="1"/>
          <w:iCs w:val="1"/>
          <w:rtl w:val="0"/>
        </w:rPr>
        <w:t xml:space="preserve">La sinonimia </w:t>
      </w:r>
      <w:r w:rsidDel="00000000" w:rsidR="00000000" w:rsidRPr="00000000">
        <w:rPr>
          <w:b w:val="1"/>
          <w:bCs w:val="1"/>
          <w:i w:val="1"/>
          <w:iCs w:val="1"/>
          <w:rtl w:val="0"/>
        </w:rPr>
        <w:t xml:space="preserve">contextual</w:t>
      </w:r>
      <w:r w:rsidDel="00000000" w:rsidR="00000000" w:rsidRPr="00000000">
        <w:rPr>
          <w:i w:val="1"/>
          <w:iCs w:val="1"/>
          <w:rtl w:val="0"/>
        </w:rPr>
        <w:t xml:space="preserve"> te obliga a pensar en el entorno (un hospital no es una cafetería).</w:t>
      </w:r>
    </w:p>
    <w:p w:rsidR="00000000" w:rsidDel="00000000" w:rsidP="00000000" w:rsidRDefault="00000000" w:rsidRPr="00000000" w14:paraId="0000000F">
      <w:pPr>
        <w:numPr>
          <w:ilvl w:val="0"/>
          <w:numId w:val="1"/>
        </w:numPr>
        <w:spacing w:after="240" w:before="0" w:beforeAutospacing="0" w:line="240" w:lineRule="auto"/>
        <w:ind w:left="1320" w:right="600" w:hanging="360"/>
        <w:jc w:val="left"/>
        <w:rPr>
          <w:i w:val="1"/>
          <w:iCs w:val="1"/>
        </w:rPr>
      </w:pPr>
      <w:r w:rsidDel="00000000" w:rsidR="00000000" w:rsidRPr="00000000">
        <w:rPr>
          <w:i w:val="1"/>
          <w:iCs w:val="1"/>
          <w:rtl w:val="0"/>
        </w:rPr>
        <w:t xml:space="preserve">Debes tener cuidado con la sinonimia de </w:t>
      </w:r>
      <w:r w:rsidDel="00000000" w:rsidR="00000000" w:rsidRPr="00000000">
        <w:rPr>
          <w:b w:val="1"/>
          <w:bCs w:val="1"/>
          <w:i w:val="1"/>
          <w:iCs w:val="1"/>
          <w:rtl w:val="0"/>
        </w:rPr>
        <w:t xml:space="preserve">connotación</w:t>
      </w:r>
      <w:r w:rsidDel="00000000" w:rsidR="00000000" w:rsidRPr="00000000">
        <w:rPr>
          <w:i w:val="1"/>
          <w:iCs w:val="1"/>
          <w:rtl w:val="0"/>
        </w:rPr>
        <w:t xml:space="preserve"> en textos oficiales; aunque "monstruo" sea un elogio, en un informe serio es mejor usar términos denotativos como "eminencia" o "especialista".</w:t>
      </w:r>
    </w:p>
    <w:p w:rsidR="00000000" w:rsidDel="00000000" w:rsidP="00000000" w:rsidRDefault="00000000" w:rsidRPr="00000000" w14:paraId="00000010">
      <w:pPr>
        <w:pStyle w:val="Heading3"/>
        <w:keepNext w:val="0"/>
        <w:keepLines w:val="0"/>
        <w:spacing w:line="240" w:lineRule="auto"/>
        <w:rPr/>
      </w:pPr>
      <w:bookmarkStart w:colFirst="0" w:colLast="0" w:name="_heading=h.h8api7s4kyd" w:id="3"/>
      <w:bookmarkEnd w:id="3"/>
      <w:r w:rsidDel="00000000" w:rsidR="00000000" w:rsidRPr="00000000">
        <w:rPr>
          <w:sz w:val="22"/>
          <w:szCs w:val="22"/>
          <w:rtl w:val="0"/>
        </w:rPr>
        <w:t xml:space="preserve">Lista de palabras (Gaps) para el iDevice</w:t>
      </w:r>
      <w:r w:rsidDel="00000000" w:rsidR="00000000" w:rsidRPr="00000000">
        <w:rPr>
          <w:rtl w:val="0"/>
        </w:rPr>
      </w:r>
    </w:p>
    <w:p w:rsidR="00000000" w:rsidDel="00000000" w:rsidP="00000000" w:rsidRDefault="00000000" w:rsidRPr="00000000" w14:paraId="00000011">
      <w:pPr>
        <w:numPr>
          <w:ilvl w:val="0"/>
          <w:numId w:val="2"/>
        </w:numPr>
        <w:spacing w:after="0" w:afterAutospacing="0" w:before="240" w:line="240" w:lineRule="auto"/>
        <w:ind w:left="720" w:hanging="360"/>
        <w:jc w:val="left"/>
      </w:pPr>
      <w:r w:rsidDel="00000000" w:rsidR="00000000" w:rsidRPr="00000000">
        <w:rPr>
          <w:b w:val="1"/>
          <w:bCs w:val="1"/>
          <w:rtl w:val="0"/>
        </w:rPr>
        <w:t xml:space="preserve">conceptual</w:t>
      </w:r>
    </w:p>
    <w:p w:rsidR="00000000" w:rsidDel="00000000" w:rsidP="00000000" w:rsidRDefault="00000000" w:rsidRPr="00000000" w14:paraId="00000012">
      <w:pPr>
        <w:numPr>
          <w:ilvl w:val="0"/>
          <w:numId w:val="2"/>
        </w:numPr>
        <w:spacing w:after="0" w:afterAutospacing="0" w:before="0" w:beforeAutospacing="0" w:line="240" w:lineRule="auto"/>
        <w:ind w:left="720" w:hanging="360"/>
        <w:jc w:val="left"/>
      </w:pPr>
      <w:r w:rsidDel="00000000" w:rsidR="00000000" w:rsidRPr="00000000">
        <w:rPr>
          <w:b w:val="1"/>
          <w:bCs w:val="1"/>
          <w:rtl w:val="0"/>
        </w:rPr>
        <w:t xml:space="preserve">referencial</w:t>
      </w:r>
    </w:p>
    <w:p w:rsidR="00000000" w:rsidDel="00000000" w:rsidP="00000000" w:rsidRDefault="00000000" w:rsidRPr="00000000" w14:paraId="00000013">
      <w:pPr>
        <w:numPr>
          <w:ilvl w:val="0"/>
          <w:numId w:val="2"/>
        </w:numPr>
        <w:spacing w:after="0" w:afterAutospacing="0" w:before="0" w:beforeAutospacing="0" w:line="240" w:lineRule="auto"/>
        <w:ind w:left="720" w:hanging="360"/>
        <w:jc w:val="left"/>
      </w:pPr>
      <w:r w:rsidDel="00000000" w:rsidR="00000000" w:rsidRPr="00000000">
        <w:rPr>
          <w:b w:val="1"/>
          <w:bCs w:val="1"/>
          <w:rtl w:val="0"/>
        </w:rPr>
        <w:t xml:space="preserve">contextual</w:t>
      </w:r>
    </w:p>
    <w:p w:rsidR="00000000" w:rsidDel="00000000" w:rsidP="00000000" w:rsidRDefault="00000000" w:rsidRPr="00000000" w14:paraId="00000014">
      <w:pPr>
        <w:numPr>
          <w:ilvl w:val="0"/>
          <w:numId w:val="2"/>
        </w:numPr>
        <w:spacing w:after="0" w:afterAutospacing="0" w:before="0" w:beforeAutospacing="0" w:line="240" w:lineRule="auto"/>
        <w:ind w:left="720" w:hanging="360"/>
        <w:jc w:val="left"/>
      </w:pPr>
      <w:r w:rsidDel="00000000" w:rsidR="00000000" w:rsidRPr="00000000">
        <w:rPr>
          <w:b w:val="1"/>
          <w:bCs w:val="1"/>
          <w:rtl w:val="0"/>
        </w:rPr>
        <w:t xml:space="preserve">connotación</w:t>
      </w:r>
    </w:p>
    <w:p w:rsidR="00000000" w:rsidDel="00000000" w:rsidP="00000000" w:rsidRDefault="00000000" w:rsidRPr="00000000" w14:paraId="00000015">
      <w:pPr>
        <w:numPr>
          <w:ilvl w:val="0"/>
          <w:numId w:val="2"/>
        </w:numPr>
        <w:spacing w:after="240" w:before="0" w:beforeAutospacing="0" w:line="240" w:lineRule="auto"/>
        <w:ind w:left="720" w:hanging="360"/>
        <w:jc w:val="left"/>
      </w:pPr>
      <w:r w:rsidDel="00000000" w:rsidR="00000000" w:rsidRPr="00000000">
        <w:rPr>
          <w:b w:val="1"/>
          <w:bCs w:val="1"/>
          <w:rtl w:val="0"/>
        </w:rPr>
        <w:t xml:space="preserve">conceptual</w:t>
      </w:r>
    </w:p>
    <w:p w:rsidR="00000000" w:rsidDel="00000000" w:rsidP="00000000" w:rsidRDefault="00000000" w:rsidRPr="00000000" w14:paraId="00000016">
      <w:pPr>
        <w:spacing w:line="240" w:lineRule="auto"/>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一"/>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_tradnl"/>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19191" w:space="0" w:sz="8" w:val="single"/>
      </w:pBdr>
      <w:spacing w:after="240" w:before="240" w:line="276" w:lineRule="auto"/>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miento 2">
    <w:name w:val="Encabezamiento 2"/>
    <w:next w:val="Cuerpo"/>
    <w:pPr>
      <w:keepNext w:val="1"/>
      <w:keepLines w:val="0"/>
      <w:pageBreakBefore w:val="0"/>
      <w:widowControl w:val="1"/>
      <w:pBdr>
        <w:top w:space="0" w:sz="0" w:val="nil"/>
        <w:left w:space="0" w:sz="0" w:val="nil"/>
        <w:bottom w:color="919191" w:space="0" w:sz="8" w:val="single"/>
        <w:right w:space="0" w:sz="0" w:val="nil"/>
      </w:pBdr>
      <w:shd w:color="auto" w:fill="auto" w:val="clear"/>
      <w:suppressAutoHyphens w:val="0"/>
      <w:bidi w:val="0"/>
      <w:spacing w:after="0" w:before="0" w:line="240" w:lineRule="auto"/>
      <w:ind w:left="0" w:right="0" w:firstLine="0"/>
      <w:jc w:val="left"/>
      <w:outlineLvl w:val="1"/>
    </w:pPr>
    <w:rPr>
      <w:rFonts w:ascii="Arial" w:cs="Arial Unicode MS" w:eastAsia="Arial Unicode MS" w:hAnsi="Arial"/>
      <w:b w:val="1"/>
      <w:bCs w:val="1"/>
      <w:i w:val="0"/>
      <w:iCs w:val="0"/>
      <w:caps w:val="0"/>
      <w:smallCaps w:val="0"/>
      <w:strike w:val="0"/>
      <w:dstrike w:val="0"/>
      <w:outline w:val="0"/>
      <w:color w:val="000000"/>
      <w:spacing w:val="0"/>
      <w:kern w:val="0"/>
      <w:position w:val="0"/>
      <w:sz w:val="24"/>
      <w:szCs w:val="24"/>
      <w:u w:val="none"/>
      <w:shd w:color="auto" w:fill="auto" w:val="nil"/>
      <w:vertAlign w:val="baseline"/>
      <w:lang w:val="es-ES_tradnl"/>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character" w:styleId="Ninguno">
    <w:name w:val="Ninguno"/>
    <w:rPr>
      <w:lang w:val="es-ES_tradnl"/>
    </w:rPr>
  </w:style>
  <w:style w:type="numbering" w:styleId="Guion">
    <w:name w:val="Guion"/>
    <w:pPr>
      <w:numPr>
        <w:numId w:val="1"/>
      </w:numPr>
    </w:pPr>
  </w:style>
  <w:style w:type="character" w:styleId="Hyperlink.0">
    <w:name w:val="Hyperlink.0"/>
    <w:basedOn w:val="Ninguno"/>
    <w:next w:val="Hyperlink.0"/>
    <w:rPr>
      <w:b w:val="1"/>
      <w:bCs w:val="1"/>
      <w:outline w:val="0"/>
      <w:color w:val="0000ee"/>
      <w:u w:val="single"/>
      <w14:textFill>
        <w14:solidFill>
          <w14:srgbClr w14:val="0000EE"/>
        </w14:solidFill>
      </w14:textFill>
    </w:rPr>
  </w:style>
  <w:style w:type="numbering" w:styleId="Número">
    <w:name w:val="Número"/>
    <w:pPr>
      <w:numPr>
        <w:numId w:val="3"/>
      </w:numPr>
    </w:p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eAwtywbyCpvlyMlUPx3xrAxGQ==">CgMxLjAyDmgubHJwaW5mbndmODNzMg5oLmNxNG1pYW9lMXd4MTIOaC5veXloYmxidHNyN2YyDWguaDhhcGk3czRreWQ4AHIhMWllR1VyNjdlOFJja1NkYnAxd3VjRnVIckgzclRTa1ZR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